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6A3B6C" w:rsidRDefault="006A3B6C" w:rsidP="006A3B6C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A3B6C" w:rsidRDefault="00EC433C" w:rsidP="006A3B6C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Anexa 6</w:t>
      </w:r>
      <w:bookmarkStart w:id="0" w:name="_GoBack"/>
      <w:bookmarkEnd w:id="0"/>
      <w:r w:rsidR="006E3D61">
        <w:rPr>
          <w:rFonts w:ascii="Arial" w:eastAsia="Times New Roman" w:hAnsi="Arial" w:cs="Arial"/>
          <w:b/>
          <w:sz w:val="24"/>
          <w:szCs w:val="24"/>
        </w:rPr>
        <w:t>.6</w:t>
      </w:r>
      <w:r w:rsidR="006A3B6C">
        <w:rPr>
          <w:rFonts w:ascii="Arial" w:eastAsia="Times New Roman" w:hAnsi="Arial" w:cs="Arial"/>
          <w:b/>
          <w:sz w:val="24"/>
          <w:szCs w:val="24"/>
        </w:rPr>
        <w:t xml:space="preserve"> –Indicatori de monitorizare ai Strategiei Integrate de Dezvoltare Durabila a Deltei </w:t>
      </w:r>
      <w:proofErr w:type="spellStart"/>
      <w:r w:rsidR="006A3B6C">
        <w:rPr>
          <w:rFonts w:ascii="Arial" w:eastAsia="Times New Roman" w:hAnsi="Arial" w:cs="Arial"/>
          <w:b/>
          <w:sz w:val="24"/>
          <w:szCs w:val="24"/>
        </w:rPr>
        <w:t>Dunarii</w:t>
      </w:r>
      <w:proofErr w:type="spellEnd"/>
      <w:r w:rsidR="006A3B6C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6A3B6C" w:rsidRPr="007D6311" w:rsidRDefault="006A3B6C" w:rsidP="006A3B6C">
      <w:pPr>
        <w:spacing w:after="120" w:line="240" w:lineRule="auto"/>
        <w:jc w:val="both"/>
        <w:rPr>
          <w:rFonts w:ascii="Arial" w:eastAsiaTheme="minorHAnsi" w:hAnsi="Arial" w:cs="Arial"/>
          <w:b/>
          <w:bCs/>
          <w:iCs/>
        </w:rPr>
      </w:pPr>
      <w:r w:rsidRPr="007D6311">
        <w:rPr>
          <w:rFonts w:ascii="Arial" w:eastAsia="Times New Roman" w:hAnsi="Arial" w:cs="Arial"/>
          <w:b/>
        </w:rPr>
        <w:t xml:space="preserve">Conform SIDDDD -  Tabel 54 –Indicatori de monitorizare –Cap </w:t>
      </w:r>
      <w:r w:rsidRPr="007D6311">
        <w:rPr>
          <w:rFonts w:ascii="Arial" w:hAnsi="Arial" w:cs="Arial"/>
          <w:b/>
          <w:bCs/>
          <w:iCs/>
        </w:rPr>
        <w:t>VII.4 Indicatori de monitorizare a obiectivelor pe sectoare prioritare</w:t>
      </w:r>
    </w:p>
    <w:p w:rsidR="006A3B6C" w:rsidRPr="006A3B6C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6A3B6C" w:rsidRDefault="006A3B6C" w:rsidP="006A3B6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215868"/>
          <w:sz w:val="24"/>
          <w:szCs w:val="24"/>
        </w:rPr>
      </w:pPr>
    </w:p>
    <w:p w:rsidR="006A3B6C" w:rsidRPr="00F02455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  <w:r w:rsidRPr="00F02455">
        <w:rPr>
          <w:rFonts w:ascii="Arial" w:hAnsi="Arial" w:cs="Arial"/>
          <w:b/>
          <w:bCs/>
          <w:color w:val="215868"/>
          <w:sz w:val="24"/>
          <w:szCs w:val="24"/>
        </w:rPr>
        <w:t>Pilonul I: Protejarea mediului și resurselor naturale</w:t>
      </w:r>
    </w:p>
    <w:p w:rsidR="006A3B6C" w:rsidRDefault="006A3B6C" w:rsidP="006A3B6C">
      <w:pPr>
        <w:autoSpaceDE w:val="0"/>
        <w:autoSpaceDN w:val="0"/>
        <w:adjustRightInd w:val="0"/>
        <w:spacing w:after="0" w:line="240" w:lineRule="auto"/>
        <w:rPr>
          <w:rFonts w:ascii="Calibri,Bold" w:hAnsi="Calibri,Bold" w:cs="Calibri,Bold"/>
          <w:b/>
          <w:bCs/>
          <w:color w:val="215868"/>
          <w:sz w:val="24"/>
          <w:szCs w:val="24"/>
        </w:rPr>
      </w:pPr>
    </w:p>
    <w:p w:rsidR="006A3B6C" w:rsidRPr="006A3B6C" w:rsidRDefault="006A3B6C" w:rsidP="006A3B6C">
      <w:pPr>
        <w:pStyle w:val="List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Biodiversitate și managementul ecosistemelor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Plan de Management al </w:t>
      </w:r>
      <w:proofErr w:type="spellStart"/>
      <w:r w:rsidRPr="006A3B6C">
        <w:rPr>
          <w:rFonts w:ascii="Arial" w:hAnsi="Arial" w:cs="Arial"/>
          <w:color w:val="000000"/>
        </w:rPr>
        <w:t>Rezervaţiei</w:t>
      </w:r>
      <w:proofErr w:type="spellEnd"/>
      <w:r w:rsidRPr="006A3B6C">
        <w:rPr>
          <w:rFonts w:ascii="Arial" w:hAnsi="Arial" w:cs="Arial"/>
          <w:color w:val="000000"/>
        </w:rPr>
        <w:t xml:space="preserve"> Biosferei Delta Dunării aprobat </w:t>
      </w:r>
      <w:proofErr w:type="spellStart"/>
      <w:r w:rsidRPr="006A3B6C">
        <w:rPr>
          <w:rFonts w:ascii="Arial" w:hAnsi="Arial" w:cs="Arial"/>
          <w:color w:val="000000"/>
        </w:rPr>
        <w:t>şi</w:t>
      </w:r>
      <w:proofErr w:type="spellEnd"/>
      <w:r w:rsidRPr="006A3B6C">
        <w:rPr>
          <w:rFonts w:ascii="Arial" w:hAnsi="Arial" w:cs="Arial"/>
          <w:color w:val="000000"/>
        </w:rPr>
        <w:t xml:space="preserve"> după caz, actualizat în perioada de implementare a strategiei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seturi de măsuri și acțiuni ale </w:t>
      </w:r>
      <w:proofErr w:type="spellStart"/>
      <w:r w:rsidRPr="006A3B6C">
        <w:rPr>
          <w:rFonts w:ascii="Arial" w:hAnsi="Arial" w:cs="Arial"/>
          <w:color w:val="000000"/>
        </w:rPr>
        <w:t>Rezervaţiei</w:t>
      </w:r>
      <w:proofErr w:type="spellEnd"/>
      <w:r w:rsidRPr="006A3B6C">
        <w:rPr>
          <w:rFonts w:ascii="Arial" w:hAnsi="Arial" w:cs="Arial"/>
          <w:color w:val="000000"/>
        </w:rPr>
        <w:t xml:space="preserve"> Biosferei Delta Dunării bazate pe date de monitorizare larg acceptate și pe modele hidrologice, de sedimentare și demografice de ultimă oră, demarate </w:t>
      </w:r>
      <w:proofErr w:type="spellStart"/>
      <w:r w:rsidRPr="006A3B6C">
        <w:rPr>
          <w:rFonts w:ascii="Arial" w:hAnsi="Arial" w:cs="Arial"/>
          <w:color w:val="000000"/>
        </w:rPr>
        <w:t>şi</w:t>
      </w:r>
      <w:proofErr w:type="spellEnd"/>
      <w:r w:rsidRPr="006A3B6C">
        <w:rPr>
          <w:rFonts w:ascii="Arial" w:hAnsi="Arial" w:cs="Arial"/>
          <w:color w:val="000000"/>
        </w:rPr>
        <w:t xml:space="preserve"> implementate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Suprafața habitatelor sprijinite în vederea obținerii unui stadiu de conservare mai bun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populațiilor de specii de pește valoroase din punct de vedere economic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obiective de infrastructură esențială și obiective de interes economic din cadrul RBDD protejate împotriva inundațiilor</w:t>
      </w:r>
    </w:p>
    <w:p w:rsidR="006A3B6C" w:rsidRP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măsuri/</w:t>
      </w:r>
      <w:proofErr w:type="spellStart"/>
      <w:r w:rsidRPr="006A3B6C">
        <w:rPr>
          <w:rFonts w:ascii="Arial" w:hAnsi="Arial" w:cs="Arial"/>
          <w:color w:val="000000"/>
        </w:rPr>
        <w:t>Iniţiative</w:t>
      </w:r>
      <w:proofErr w:type="spellEnd"/>
      <w:r w:rsidRPr="006A3B6C">
        <w:rPr>
          <w:rFonts w:ascii="Arial" w:hAnsi="Arial" w:cs="Arial"/>
          <w:color w:val="000000"/>
        </w:rPr>
        <w:t xml:space="preserve"> de actualizare a cadrului legislativ și de reglementare pentru managementul și utilizarea RBDD și a resurselor acesteia actualizate pentru a sprijini obiectivele participării sporite a comunității și stimulentele pentru protejare și refacere ecologică</w:t>
      </w:r>
    </w:p>
    <w:p w:rsidR="006A3B6C" w:rsidRDefault="006A3B6C" w:rsidP="006A3B6C">
      <w:pPr>
        <w:pStyle w:val="Listparagraf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instituții și cercetători locali și internaționali </w:t>
      </w:r>
      <w:proofErr w:type="spellStart"/>
      <w:r w:rsidRPr="006A3B6C">
        <w:rPr>
          <w:rFonts w:ascii="Arial" w:hAnsi="Arial" w:cs="Arial"/>
          <w:color w:val="000000"/>
        </w:rPr>
        <w:t>implicaţi</w:t>
      </w:r>
      <w:proofErr w:type="spellEnd"/>
      <w:r w:rsidRPr="006A3B6C">
        <w:rPr>
          <w:rFonts w:ascii="Arial" w:hAnsi="Arial" w:cs="Arial"/>
          <w:color w:val="000000"/>
        </w:rPr>
        <w:t xml:space="preserve"> în programul diversificat de cercetare, recunoscut internațional, privind sistemele și resursele naturale și culturale ale DD</w:t>
      </w:r>
    </w:p>
    <w:p w:rsidR="004D2663" w:rsidRPr="006A3B6C" w:rsidRDefault="004D2663" w:rsidP="004D2663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Eficiență energetică</w:t>
      </w:r>
    </w:p>
    <w:p w:rsidR="006A3B6C" w:rsidRPr="006A3B6C" w:rsidRDefault="006A3B6C" w:rsidP="006A3B6C">
      <w:pPr>
        <w:pStyle w:val="List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Numărul de clădiri publice renovate și consumul de energie finală în clădirile publice</w:t>
      </w:r>
    </w:p>
    <w:p w:rsidR="006A3B6C" w:rsidRPr="006A3B6C" w:rsidRDefault="006A3B6C" w:rsidP="006A3B6C">
      <w:pPr>
        <w:pStyle w:val="List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clădiri rezidențiale renovate și consumul de energie finală în sectorul rezidențial</w:t>
      </w:r>
    </w:p>
    <w:p w:rsidR="006A3B6C" w:rsidRPr="006A3B6C" w:rsidRDefault="006A3B6C" w:rsidP="006A3B6C">
      <w:pPr>
        <w:pStyle w:val="List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Lungimea </w:t>
      </w:r>
      <w:proofErr w:type="spellStart"/>
      <w:r w:rsidRPr="006A3B6C">
        <w:rPr>
          <w:rFonts w:ascii="Arial" w:hAnsi="Arial" w:cs="Arial"/>
          <w:color w:val="000000"/>
        </w:rPr>
        <w:t>reţelei</w:t>
      </w:r>
      <w:proofErr w:type="spellEnd"/>
      <w:r w:rsidRPr="006A3B6C">
        <w:rPr>
          <w:rFonts w:ascii="Arial" w:hAnsi="Arial" w:cs="Arial"/>
          <w:color w:val="000000"/>
        </w:rPr>
        <w:t xml:space="preserve"> termice reabilitate / extinse</w:t>
      </w:r>
    </w:p>
    <w:p w:rsidR="006A3B6C" w:rsidRDefault="006A3B6C" w:rsidP="006A3B6C">
      <w:pPr>
        <w:pStyle w:val="Listparagraf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utilizatori suplimentari de energie conectați la rețele inteligente</w:t>
      </w:r>
    </w:p>
    <w:p w:rsidR="004D2663" w:rsidRPr="006A3B6C" w:rsidRDefault="004D2663" w:rsidP="004D2663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Schimbări climatice</w:t>
      </w:r>
    </w:p>
    <w:p w:rsidR="006A3B6C" w:rsidRPr="006A3B6C" w:rsidRDefault="006A3B6C" w:rsidP="006A3B6C">
      <w:pPr>
        <w:pStyle w:val="List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Nivelul estimat al emisiilor de gaze cu efect de seră</w:t>
      </w:r>
    </w:p>
    <w:p w:rsidR="006A3B6C" w:rsidRPr="006A3B6C" w:rsidRDefault="006A3B6C" w:rsidP="006A3B6C">
      <w:pPr>
        <w:pStyle w:val="List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proofErr w:type="spellStart"/>
      <w:r w:rsidRPr="006A3B6C">
        <w:rPr>
          <w:rFonts w:ascii="Arial" w:hAnsi="Arial" w:cs="Arial"/>
          <w:color w:val="000000"/>
        </w:rPr>
        <w:t>Producţia</w:t>
      </w:r>
      <w:proofErr w:type="spellEnd"/>
      <w:r w:rsidRPr="006A3B6C">
        <w:rPr>
          <w:rFonts w:ascii="Arial" w:hAnsi="Arial" w:cs="Arial"/>
          <w:color w:val="000000"/>
        </w:rPr>
        <w:t xml:space="preserve"> brută de energie primară din surse regenerabile mai </w:t>
      </w:r>
      <w:proofErr w:type="spellStart"/>
      <w:r w:rsidRPr="006A3B6C">
        <w:rPr>
          <w:rFonts w:ascii="Arial" w:hAnsi="Arial" w:cs="Arial"/>
          <w:color w:val="000000"/>
        </w:rPr>
        <w:t>puţin</w:t>
      </w:r>
      <w:proofErr w:type="spellEnd"/>
      <w:r w:rsidRPr="006A3B6C">
        <w:rPr>
          <w:rFonts w:ascii="Arial" w:hAnsi="Arial" w:cs="Arial"/>
          <w:color w:val="000000"/>
        </w:rPr>
        <w:t xml:space="preserve"> exploatate</w:t>
      </w:r>
    </w:p>
    <w:p w:rsidR="006A3B6C" w:rsidRPr="006A3B6C" w:rsidRDefault="006A3B6C" w:rsidP="006A3B6C">
      <w:pPr>
        <w:pStyle w:val="List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Nivelul de investiție în măsurile de adaptare la schimbările climatice</w:t>
      </w:r>
    </w:p>
    <w:p w:rsidR="006A3B6C" w:rsidRPr="006A3B6C" w:rsidRDefault="006A3B6C" w:rsidP="006A3B6C">
      <w:pPr>
        <w:pStyle w:val="List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Numărul gospodăriilor cu o clasificare mai bună a consumului de energie</w:t>
      </w:r>
    </w:p>
    <w:p w:rsidR="006A3B6C" w:rsidRDefault="006A3B6C" w:rsidP="006A3B6C">
      <w:pPr>
        <w:pStyle w:val="Listparagraf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Evoluția consumului anual de energie primară în clădirile publice</w:t>
      </w:r>
    </w:p>
    <w:p w:rsidR="004D2663" w:rsidRPr="006A3B6C" w:rsidRDefault="004D2663" w:rsidP="004D2663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Managementul riscului în caz de dezastre</w:t>
      </w:r>
    </w:p>
    <w:p w:rsidR="006A3B6C" w:rsidRPr="006A3B6C" w:rsidRDefault="006A3B6C" w:rsidP="006A3B6C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locuitori care beneficiază de măsuri de protecție împotriva inundațiilor</w:t>
      </w:r>
    </w:p>
    <w:p w:rsidR="006A3B6C" w:rsidRPr="006A3B6C" w:rsidRDefault="006A3B6C" w:rsidP="006A3B6C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exerciții cu intervenție de urgență în caz de dezastru (anual)</w:t>
      </w:r>
    </w:p>
    <w:p w:rsidR="006A3B6C" w:rsidRPr="006A3B6C" w:rsidRDefault="006A3B6C" w:rsidP="006A3B6C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Timpul mediu de răspuns la </w:t>
      </w:r>
      <w:proofErr w:type="spellStart"/>
      <w:r w:rsidRPr="006A3B6C">
        <w:rPr>
          <w:rFonts w:ascii="Arial" w:hAnsi="Arial" w:cs="Arial"/>
          <w:color w:val="000000"/>
        </w:rPr>
        <w:t>situaţii</w:t>
      </w:r>
      <w:proofErr w:type="spellEnd"/>
      <w:r w:rsidRPr="006A3B6C">
        <w:rPr>
          <w:rFonts w:ascii="Arial" w:hAnsi="Arial" w:cs="Arial"/>
          <w:color w:val="000000"/>
        </w:rPr>
        <w:t xml:space="preserve"> de </w:t>
      </w:r>
      <w:proofErr w:type="spellStart"/>
      <w:r w:rsidRPr="006A3B6C">
        <w:rPr>
          <w:rFonts w:ascii="Arial" w:hAnsi="Arial" w:cs="Arial"/>
          <w:color w:val="000000"/>
        </w:rPr>
        <w:t>urgenţă</w:t>
      </w:r>
      <w:proofErr w:type="spellEnd"/>
    </w:p>
    <w:p w:rsidR="006A3B6C" w:rsidRPr="006A3B6C" w:rsidRDefault="006A3B6C" w:rsidP="006A3B6C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Inventar cu deșeuri periculoase și sistem de management al informațiilor existente (da sau nu)</w:t>
      </w:r>
    </w:p>
    <w:p w:rsidR="006A3B6C" w:rsidRDefault="006A3B6C" w:rsidP="006A3B6C">
      <w:pPr>
        <w:pStyle w:val="Listparagraf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planuri de intervenție disponibile</w:t>
      </w:r>
    </w:p>
    <w:p w:rsidR="004D2663" w:rsidRPr="006A3B6C" w:rsidRDefault="004D2663" w:rsidP="004D2663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Situații de urgență asociate riscurilor de poluare</w:t>
      </w:r>
    </w:p>
    <w:p w:rsidR="006A3B6C" w:rsidRPr="006A3B6C" w:rsidRDefault="006A3B6C" w:rsidP="006A3B6C">
      <w:pPr>
        <w:pStyle w:val="List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incidente de poluare în regiunea DD (anual)</w:t>
      </w:r>
    </w:p>
    <w:p w:rsidR="006A3B6C" w:rsidRPr="006A3B6C" w:rsidRDefault="006A3B6C" w:rsidP="006A3B6C">
      <w:pPr>
        <w:pStyle w:val="List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exerciții cu intervenție de urgență în caz de poluare (anual)</w:t>
      </w:r>
    </w:p>
    <w:p w:rsidR="006A3B6C" w:rsidRPr="006A3B6C" w:rsidRDefault="006A3B6C" w:rsidP="006A3B6C">
      <w:pPr>
        <w:pStyle w:val="List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Durata medie pentru a opri incidentele de poluare (zile)</w:t>
      </w:r>
    </w:p>
    <w:p w:rsidR="006A3B6C" w:rsidRPr="006A3B6C" w:rsidRDefault="006A3B6C" w:rsidP="006A3B6C">
      <w:pPr>
        <w:pStyle w:val="Listparagraf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planuri de prevenire a poluării disponibile</w:t>
      </w:r>
    </w:p>
    <w:p w:rsidR="00881694" w:rsidRDefault="00881694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</w:p>
    <w:p w:rsidR="00881694" w:rsidRDefault="00881694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</w:p>
    <w:p w:rsidR="006A3B6C" w:rsidRPr="00F02455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  <w:r w:rsidRPr="00F02455">
        <w:rPr>
          <w:rFonts w:ascii="Arial" w:hAnsi="Arial" w:cs="Arial"/>
          <w:b/>
          <w:bCs/>
          <w:color w:val="215868"/>
          <w:sz w:val="24"/>
          <w:szCs w:val="24"/>
        </w:rPr>
        <w:lastRenderedPageBreak/>
        <w:t>Pilonul II: Îmbunătățirea economiei</w:t>
      </w:r>
    </w:p>
    <w:p w:rsidR="00EA5147" w:rsidRPr="006A3B6C" w:rsidRDefault="00EA5147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</w:rPr>
      </w:pPr>
    </w:p>
    <w:p w:rsidR="006A3B6C" w:rsidRPr="006A3B6C" w:rsidRDefault="006A3B6C" w:rsidP="006A3B6C">
      <w:pPr>
        <w:pStyle w:val="List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Turism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Sosiri ale turiștilor pe lună (distribuție pe an)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permise de intrare în RBDD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ambarcațiuni disponibile pentru turiști la principalele puncte de ieșire și puncte nodale (rute monitorizate)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Ratele de ocupare pentru cazările autorizate / oficiale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Cheltuielile medii pe un turist într-un sejur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Durata medie a sejurului (nopți))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structurilor de cazare turistice deschise tot anul (%)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și pondere din locurile de muncă în turism (locurile de muncă permanente vs. temporare)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Gradul de satisfacție a vizitatorilor privind serviciile turistice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Percepția raportului calitate/preț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Gradul în care vizitatorii revin (%)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locuitori ocupați în turism (locuri de muncă directe și indirecte, raportul dintre locurile de muncă în turism și totalul locurilor de muncă)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Venituri generate de turism raportate la veniturile totale generate în economia locală (%)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case tradiționale menținute/ reabilitate incluse in circuitul turistic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Gradul de satisfacție a locuitorilor privind dezvoltarea turismului în zonă (%)</w:t>
      </w:r>
    </w:p>
    <w:p w:rsidR="006A3B6C" w:rsidRP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Proporția produselor si serviciilor locale din totalul produselor si serviciilor</w:t>
      </w:r>
    </w:p>
    <w:p w:rsidR="006A3B6C" w:rsidRDefault="006A3B6C" w:rsidP="006A3B6C">
      <w:pPr>
        <w:pStyle w:val="Listparagraf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Raportul dintre rezidenții și nerezidenții ce dețin terenuri / imobile în DD</w:t>
      </w:r>
    </w:p>
    <w:p w:rsidR="007D6311" w:rsidRPr="006A3B6C" w:rsidRDefault="007D6311" w:rsidP="007D6311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Pescuit și acvacultură</w:t>
      </w:r>
    </w:p>
    <w:p w:rsidR="006A3B6C" w:rsidRPr="006A3B6C" w:rsidRDefault="006A3B6C" w:rsidP="006A3B6C">
      <w:pPr>
        <w:pStyle w:val="Listparagraf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locurilor de muncă din domeniul pescăresc pe activități specifice</w:t>
      </w:r>
    </w:p>
    <w:p w:rsidR="006A3B6C" w:rsidRPr="006A3B6C" w:rsidRDefault="006A3B6C" w:rsidP="006A3B6C">
      <w:pPr>
        <w:pStyle w:val="Listparagraf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Mărimea populațiilor de specii de pești răpitori</w:t>
      </w:r>
    </w:p>
    <w:p w:rsidR="006A3B6C" w:rsidRPr="006A3B6C" w:rsidRDefault="006A3B6C" w:rsidP="006A3B6C">
      <w:pPr>
        <w:pStyle w:val="Listparagraf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Dinamica populației de caras</w:t>
      </w:r>
    </w:p>
    <w:p w:rsidR="006A3B6C" w:rsidRDefault="006A3B6C" w:rsidP="006A3B6C">
      <w:pPr>
        <w:pStyle w:val="Listparagraf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investiții/proiecte în acvacultură</w:t>
      </w:r>
    </w:p>
    <w:p w:rsidR="007D6311" w:rsidRPr="006A3B6C" w:rsidRDefault="007D6311" w:rsidP="007D6311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Agricultură și dezvoltare rurală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fermieri/asociații cu acces la rețele de promovare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</w:t>
      </w:r>
      <w:proofErr w:type="spellStart"/>
      <w:r w:rsidRPr="006A3B6C">
        <w:rPr>
          <w:rFonts w:ascii="Arial" w:hAnsi="Arial" w:cs="Arial"/>
          <w:color w:val="000000"/>
        </w:rPr>
        <w:t>paticipanți</w:t>
      </w:r>
      <w:proofErr w:type="spellEnd"/>
      <w:r w:rsidRPr="006A3B6C">
        <w:rPr>
          <w:rFonts w:ascii="Arial" w:hAnsi="Arial" w:cs="Arial"/>
          <w:color w:val="000000"/>
        </w:rPr>
        <w:t xml:space="preserve"> la programe de educație / formare profesională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infrastructurii de irigații reabilitate din totalul infrastructurii de irigații viabile (%)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Suprafața de teren neproductiv împădurit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intervenții de protecție împotriva inundațiilor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% de teren acordat fermierilor din totalul terenului public disponibil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% de fermieri care au intrat într-o schemă pentru micii fermieri</w:t>
      </w:r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% de fermieri care au deschis o activitate non-</w:t>
      </w:r>
      <w:proofErr w:type="spellStart"/>
      <w:r w:rsidRPr="006A3B6C">
        <w:rPr>
          <w:rFonts w:ascii="Arial" w:hAnsi="Arial" w:cs="Arial"/>
          <w:color w:val="000000"/>
        </w:rPr>
        <w:t>agicolă</w:t>
      </w:r>
      <w:proofErr w:type="spellEnd"/>
    </w:p>
    <w:p w:rsidR="006A3B6C" w:rsidRP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% de inițiative/proiecte care valorifică patrimoniul cultural al zonei</w:t>
      </w:r>
    </w:p>
    <w:p w:rsidR="006A3B6C" w:rsidRDefault="006A3B6C" w:rsidP="006A3B6C">
      <w:pPr>
        <w:pStyle w:val="Listparagraf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% din infrastructura comunală și sătească modernizată</w:t>
      </w:r>
    </w:p>
    <w:p w:rsidR="007D6311" w:rsidRDefault="007D6311" w:rsidP="007D6311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504E7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  <w:r w:rsidRPr="006504E7">
        <w:rPr>
          <w:rFonts w:ascii="Arial" w:hAnsi="Arial" w:cs="Arial"/>
          <w:b/>
          <w:bCs/>
          <w:color w:val="215868"/>
          <w:sz w:val="24"/>
          <w:szCs w:val="24"/>
        </w:rPr>
        <w:t>Pilonul III: Îmbunătățirea conectivității</w:t>
      </w:r>
    </w:p>
    <w:p w:rsidR="007D6311" w:rsidRPr="006504E7" w:rsidRDefault="007D6311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  <w:sz w:val="24"/>
          <w:szCs w:val="24"/>
        </w:rPr>
      </w:pPr>
    </w:p>
    <w:p w:rsidR="006A3B6C" w:rsidRPr="006A3B6C" w:rsidRDefault="006A3B6C" w:rsidP="006A3B6C">
      <w:pPr>
        <w:pStyle w:val="List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Transport</w:t>
      </w:r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Durată de călătorie între Tulcea și municipiile Constanța, Brăila, Galați</w:t>
      </w:r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Volum de mărfuri transportate pe căi navigabile interioare</w:t>
      </w:r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Volum de mărfuri containerizat manipulat în </w:t>
      </w:r>
      <w:proofErr w:type="spellStart"/>
      <w:r w:rsidRPr="006A3B6C">
        <w:rPr>
          <w:rFonts w:ascii="Arial" w:hAnsi="Arial" w:cs="Arial"/>
          <w:color w:val="000000"/>
        </w:rPr>
        <w:t>unităţi</w:t>
      </w:r>
      <w:proofErr w:type="spellEnd"/>
      <w:r w:rsidRPr="006A3B6C">
        <w:rPr>
          <w:rFonts w:ascii="Arial" w:hAnsi="Arial" w:cs="Arial"/>
          <w:color w:val="000000"/>
        </w:rPr>
        <w:t xml:space="preserve"> de transport </w:t>
      </w:r>
      <w:proofErr w:type="spellStart"/>
      <w:r w:rsidRPr="006A3B6C">
        <w:rPr>
          <w:rFonts w:ascii="Arial" w:hAnsi="Arial" w:cs="Arial"/>
          <w:color w:val="000000"/>
        </w:rPr>
        <w:t>intermodal</w:t>
      </w:r>
      <w:proofErr w:type="spellEnd"/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pasageri </w:t>
      </w:r>
      <w:proofErr w:type="spellStart"/>
      <w:r w:rsidRPr="006A3B6C">
        <w:rPr>
          <w:rFonts w:ascii="Arial" w:hAnsi="Arial" w:cs="Arial"/>
          <w:color w:val="000000"/>
        </w:rPr>
        <w:t>îmbarcaţi</w:t>
      </w:r>
      <w:proofErr w:type="spellEnd"/>
      <w:r w:rsidRPr="006A3B6C">
        <w:rPr>
          <w:rFonts w:ascii="Arial" w:hAnsi="Arial" w:cs="Arial"/>
          <w:color w:val="000000"/>
        </w:rPr>
        <w:t xml:space="preserve"> </w:t>
      </w:r>
      <w:proofErr w:type="spellStart"/>
      <w:r w:rsidRPr="006A3B6C">
        <w:rPr>
          <w:rFonts w:ascii="Arial" w:hAnsi="Arial" w:cs="Arial"/>
          <w:color w:val="000000"/>
        </w:rPr>
        <w:t>şi</w:t>
      </w:r>
      <w:proofErr w:type="spellEnd"/>
      <w:r w:rsidRPr="006A3B6C">
        <w:rPr>
          <w:rFonts w:ascii="Arial" w:hAnsi="Arial" w:cs="Arial"/>
          <w:color w:val="000000"/>
        </w:rPr>
        <w:t xml:space="preserve"> </w:t>
      </w:r>
      <w:proofErr w:type="spellStart"/>
      <w:r w:rsidRPr="006A3B6C">
        <w:rPr>
          <w:rFonts w:ascii="Arial" w:hAnsi="Arial" w:cs="Arial"/>
          <w:color w:val="000000"/>
        </w:rPr>
        <w:t>debarcaţi</w:t>
      </w:r>
      <w:proofErr w:type="spellEnd"/>
      <w:r w:rsidRPr="006A3B6C">
        <w:rPr>
          <w:rFonts w:ascii="Arial" w:hAnsi="Arial" w:cs="Arial"/>
          <w:color w:val="000000"/>
        </w:rPr>
        <w:t xml:space="preserve"> în transportul aeroportuar</w:t>
      </w:r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Durată de călătorie între toate localitățile și municipiile reședință de județ</w:t>
      </w:r>
    </w:p>
    <w:p w:rsidR="006A3B6C" w:rsidRP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intervenții privind accesul îmbunătățit la principalele servicii pe timpul iernii</w:t>
      </w:r>
    </w:p>
    <w:p w:rsidR="006A3B6C" w:rsidRDefault="006A3B6C" w:rsidP="006A3B6C">
      <w:pPr>
        <w:pStyle w:val="Listparagraf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Numărul de ambarcațiuni publice și private puse la dispoziția călătorilor</w:t>
      </w:r>
    </w:p>
    <w:p w:rsidR="0005576D" w:rsidRPr="006A3B6C" w:rsidRDefault="0005576D" w:rsidP="0005576D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Tehnologia informației și comunicațiilor</w:t>
      </w:r>
    </w:p>
    <w:p w:rsidR="006A3B6C" w:rsidRP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Gradul de utilizare cu regularitate a internetului de către populația zonei</w:t>
      </w:r>
    </w:p>
    <w:p w:rsidR="006A3B6C" w:rsidRP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Acoperire/disponibilitate în bandă largă NGA</w:t>
      </w:r>
    </w:p>
    <w:p w:rsidR="006A3B6C" w:rsidRP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locuitori care utilizează sistemele e-guvernare</w:t>
      </w:r>
    </w:p>
    <w:p w:rsidR="006A3B6C" w:rsidRP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școli care utilizează OER, WEB 2.0 în educație</w:t>
      </w:r>
    </w:p>
    <w:p w:rsidR="006A3B6C" w:rsidRP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unități prespitalicești și spitalicești care utilizează sisteme de telemedicină</w:t>
      </w:r>
    </w:p>
    <w:p w:rsidR="006A3B6C" w:rsidRDefault="006A3B6C" w:rsidP="006A3B6C">
      <w:pPr>
        <w:pStyle w:val="Listparagraf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puncte de acces public la informații (PAPI) nou înființate</w:t>
      </w:r>
    </w:p>
    <w:p w:rsidR="0005576D" w:rsidRPr="006A3B6C" w:rsidRDefault="0005576D" w:rsidP="0005576D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</w:rPr>
      </w:pPr>
      <w:r w:rsidRPr="006A3B6C">
        <w:rPr>
          <w:rFonts w:ascii="Arial" w:hAnsi="Arial" w:cs="Arial"/>
          <w:b/>
          <w:bCs/>
          <w:color w:val="215868"/>
        </w:rPr>
        <w:lastRenderedPageBreak/>
        <w:t>Pilonul IV: Asigurarea serviciilor publice</w:t>
      </w:r>
    </w:p>
    <w:p w:rsidR="00881694" w:rsidRPr="006A3B6C" w:rsidRDefault="00881694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</w:rPr>
      </w:pPr>
    </w:p>
    <w:p w:rsidR="006A3B6C" w:rsidRPr="006A3B6C" w:rsidRDefault="006A3B6C" w:rsidP="006A3B6C">
      <w:pPr>
        <w:pStyle w:val="Listparagraf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Alimentare cu apă și canalizare/ managementul integrat al apei</w:t>
      </w:r>
    </w:p>
    <w:p w:rsidR="006A3B6C" w:rsidRPr="006A3B6C" w:rsidRDefault="006A3B6C" w:rsidP="006A3B6C">
      <w:pPr>
        <w:pStyle w:val="Listparagraf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populației racordate la rețelele centralizate de alimentare cu apă (%)</w:t>
      </w:r>
    </w:p>
    <w:p w:rsidR="006A3B6C" w:rsidRPr="006A3B6C" w:rsidRDefault="006A3B6C" w:rsidP="006A3B6C">
      <w:pPr>
        <w:pStyle w:val="Listparagraf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populației racordate la rețelele _____centralizate de canalizare (%)</w:t>
      </w:r>
    </w:p>
    <w:p w:rsidR="006A3B6C" w:rsidRDefault="006A3B6C" w:rsidP="006A3B6C">
      <w:pPr>
        <w:pStyle w:val="Listparagraf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Ponderea apelor uzate tratate conform cu standardele cerute (%)</w:t>
      </w:r>
    </w:p>
    <w:p w:rsidR="003224F4" w:rsidRPr="006A3B6C" w:rsidRDefault="003224F4" w:rsidP="003224F4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Managementul deșeurilor</w:t>
      </w:r>
    </w:p>
    <w:p w:rsidR="006A3B6C" w:rsidRP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Cantitatea totală de deșeuri menajere colectată și transportată (tone/an)</w:t>
      </w:r>
    </w:p>
    <w:p w:rsidR="006A3B6C" w:rsidRP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Rata globală de reciclare a deșeurilor menajere (%)</w:t>
      </w:r>
    </w:p>
    <w:p w:rsidR="006A3B6C" w:rsidRP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Capacitate suplimentară de recuperare a deșeurilor (exclusiv reciclare)</w:t>
      </w:r>
    </w:p>
    <w:p w:rsidR="006A3B6C" w:rsidRP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Cantitatea de deșeuri biodegradabile depozitată</w:t>
      </w:r>
    </w:p>
    <w:p w:rsidR="006A3B6C" w:rsidRP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Cantitatea totală de deșeuri menajere colectate separat (de exemplu hârtie și carton, mase plastice, sticlă, metale, lemn) (tone/an)</w:t>
      </w:r>
    </w:p>
    <w:p w:rsidR="006A3B6C" w:rsidRDefault="006A3B6C" w:rsidP="006A3B6C">
      <w:pPr>
        <w:pStyle w:val="Listparagraf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locuitori și vizitatori care participă la activitățile educative legate de gestionarea deșeurilor (număr de persoane)</w:t>
      </w:r>
    </w:p>
    <w:p w:rsidR="003224F4" w:rsidRPr="006A3B6C" w:rsidRDefault="003224F4" w:rsidP="003224F4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Sănătate</w:t>
      </w:r>
    </w:p>
    <w:p w:rsidR="006A3B6C" w:rsidRPr="006A3B6C" w:rsidRDefault="006A3B6C" w:rsidP="006A3B6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persoane care au beneficiat de consultații privind asistenta medicala primara în ultimul an</w:t>
      </w:r>
    </w:p>
    <w:p w:rsidR="006A3B6C" w:rsidRPr="006A3B6C" w:rsidRDefault="006A3B6C" w:rsidP="006A3B6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Grad de acoperire prin vaccinare a populației / copiilor</w:t>
      </w:r>
    </w:p>
    <w:p w:rsidR="006A3B6C" w:rsidRPr="006A3B6C" w:rsidRDefault="006A3B6C" w:rsidP="006A3B6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centre integrate de asistență socio-medicală primară construite / reconstruite</w:t>
      </w:r>
    </w:p>
    <w:p w:rsidR="006A3B6C" w:rsidRDefault="006A3B6C" w:rsidP="006A3B6C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unități de primire medicale reabilitate</w:t>
      </w:r>
    </w:p>
    <w:p w:rsidR="003224F4" w:rsidRPr="006A3B6C" w:rsidRDefault="003224F4" w:rsidP="003224F4">
      <w:pPr>
        <w:autoSpaceDE w:val="0"/>
        <w:autoSpaceDN w:val="0"/>
        <w:adjustRightInd w:val="0"/>
        <w:spacing w:after="0" w:line="240" w:lineRule="auto"/>
        <w:ind w:left="1068"/>
        <w:contextualSpacing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Educație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Rata de cuprindere în învățământul ante-preșcolar / preșcolar / primar / gimnazial / secundar superior, din care: de etnie romă / din mediul rural (%)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Rata de abandon școlar (%)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persoane (elevi / ucenici), din care de etnie romă / care beneficiază de sprijin pentru participarea la programe de educație / FP, din care: elevi /ucenici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angajați care beneficiază de sprijin pentru participarea la FPC (formare / validare de competențe), din care: persoane cu nivel scăzut de calificare / persoane din mediul rural / persoane cu vârsta peste 40 de ani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persoane (cursanți, studenți) care beneficiază de sprijin pentru tranziția de la școală la viața activă, din care: de etnie romă / din mediul rural /netradițional / SEN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copii / tineri / adulți care au obținut o calificare/ au finalizat programe de tip „a doua șansă”, urmare a sprijinului primit</w:t>
      </w:r>
    </w:p>
    <w:p w:rsidR="006A3B6C" w:rsidRP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persoane care beneficiază prin proiecte de sprijin pentru formare /schimb de bune practici</w:t>
      </w:r>
    </w:p>
    <w:p w:rsidR="006A3B6C" w:rsidRDefault="006A3B6C" w:rsidP="006A3B6C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tineri șomeri din categoria NEET, cu vârsta între 16 și 24 de ani, care beneficiază de măsuri de reîntoarcere prin programe de tip „a doua șansă”, din care: de etnie romă / grupuri vulnerabile/ </w:t>
      </w:r>
      <w:proofErr w:type="spellStart"/>
      <w:r w:rsidRPr="006A3B6C">
        <w:rPr>
          <w:rFonts w:ascii="Arial" w:hAnsi="Arial" w:cs="Arial"/>
          <w:color w:val="000000"/>
        </w:rPr>
        <w:t>minoritati</w:t>
      </w:r>
      <w:proofErr w:type="spellEnd"/>
      <w:r w:rsidRPr="006A3B6C">
        <w:rPr>
          <w:rFonts w:ascii="Arial" w:hAnsi="Arial" w:cs="Arial"/>
          <w:color w:val="000000"/>
        </w:rPr>
        <w:t xml:space="preserve"> etnice/ din zona rurală</w:t>
      </w:r>
    </w:p>
    <w:p w:rsidR="003224F4" w:rsidRPr="006A3B6C" w:rsidRDefault="003224F4" w:rsidP="003224F4">
      <w:pPr>
        <w:pStyle w:val="Listparagraf"/>
        <w:autoSpaceDE w:val="0"/>
        <w:autoSpaceDN w:val="0"/>
        <w:adjustRightInd w:val="0"/>
        <w:spacing w:after="0" w:line="240" w:lineRule="auto"/>
        <w:ind w:left="1068"/>
        <w:rPr>
          <w:rFonts w:ascii="Arial" w:hAnsi="Arial" w:cs="Arial"/>
          <w:color w:val="000000"/>
        </w:rPr>
      </w:pPr>
    </w:p>
    <w:p w:rsidR="006A3B6C" w:rsidRPr="006A3B6C" w:rsidRDefault="006A3B6C" w:rsidP="006A3B6C">
      <w:pPr>
        <w:pStyle w:val="Listparagraf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Incluziune și protecție socială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grădinițe și alte servicii educaționale pentru copiii sub 6 ani în comunități dezavantajate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 xml:space="preserve">Număr de copii integrați în </w:t>
      </w:r>
      <w:proofErr w:type="spellStart"/>
      <w:r w:rsidRPr="006A3B6C">
        <w:rPr>
          <w:rFonts w:ascii="Arial" w:hAnsi="Arial" w:cs="Arial"/>
          <w:color w:val="000000"/>
        </w:rPr>
        <w:t>crese</w:t>
      </w:r>
      <w:proofErr w:type="spellEnd"/>
      <w:r w:rsidRPr="006A3B6C">
        <w:rPr>
          <w:rFonts w:ascii="Arial" w:hAnsi="Arial" w:cs="Arial"/>
          <w:color w:val="000000"/>
        </w:rPr>
        <w:t xml:space="preserve"> /grădinițe în comunitățile dezavantajate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Rata anuală de copii integrați în clasa pregătitoare și care au participat la educația preșcolară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elevi cu risc de abandon școlar la începutul și la sfârșitul anului școlar în școlile cu un număr ridicat de romi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Rata anuală a participării în școlile cu un număr ridicat de romi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copii implicați în diferite tipuri de măsuri educaționale complementare (post-școală, grădinițe de vară, tutorat școlar etc.)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și tipuri de centre (școli, ONG-uri) care au implementat măsurile de educație complementară în funcție de regiuni, județe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mediatori școlari la nivel național și în comunitățile cu o pondere ridicată de romi (peste 25 %)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mediatori școlari angajați cu normă întreagă în sistemul școlar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mediatori școlari instruiți prin programe specifice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absolvenți ai facultăților de filologie, limba romani, angajați în sistem</w:t>
      </w:r>
    </w:p>
    <w:p w:rsidR="006A3B6C" w:rsidRPr="006A3B6C" w:rsidRDefault="006A3B6C" w:rsidP="006A3B6C">
      <w:pPr>
        <w:pStyle w:val="Listparagraf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lastRenderedPageBreak/>
        <w:t>Număr de persoane care au beneficiat de drept de proprietate regularizate</w:t>
      </w:r>
    </w:p>
    <w:p w:rsidR="003F58DA" w:rsidRDefault="003F58DA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</w:rPr>
      </w:pPr>
    </w:p>
    <w:p w:rsidR="006A3B6C" w:rsidRPr="006A3B6C" w:rsidRDefault="006A3B6C" w:rsidP="006A3B6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215868"/>
        </w:rPr>
      </w:pPr>
      <w:r w:rsidRPr="006A3B6C">
        <w:rPr>
          <w:rFonts w:ascii="Arial" w:hAnsi="Arial" w:cs="Arial"/>
          <w:b/>
          <w:bCs/>
          <w:color w:val="215868"/>
        </w:rPr>
        <w:t>Pilonul V: Promovarea eficienței, accesibilității și sustenabilității</w:t>
      </w:r>
    </w:p>
    <w:p w:rsidR="006A3B6C" w:rsidRPr="006A3B6C" w:rsidRDefault="006A3B6C" w:rsidP="006A3B6C">
      <w:pPr>
        <w:pStyle w:val="Listparagraf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</w:rPr>
      </w:pPr>
      <w:r w:rsidRPr="006A3B6C">
        <w:rPr>
          <w:rFonts w:ascii="Arial" w:hAnsi="Arial" w:cs="Arial"/>
          <w:b/>
          <w:bCs/>
          <w:color w:val="000000"/>
        </w:rPr>
        <w:t>Capacitatea administrativă și managementul de program</w:t>
      </w:r>
    </w:p>
    <w:p w:rsidR="006A3B6C" w:rsidRPr="006A3B6C" w:rsidRDefault="006A3B6C" w:rsidP="006A3B6C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entități interesate participante la luarea deciziilor și frecvența participării)</w:t>
      </w:r>
    </w:p>
    <w:p w:rsidR="006A3B6C" w:rsidRPr="006A3B6C" w:rsidRDefault="006A3B6C" w:rsidP="006A3B6C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autorități și instituții publice care au implementat măsuri unitare pentru reducerea poverii administrative, pentru implementarea sistemelor de management a calității și performanței</w:t>
      </w:r>
    </w:p>
    <w:p w:rsidR="006A3B6C" w:rsidRPr="006A3B6C" w:rsidRDefault="006A3B6C" w:rsidP="006A3B6C">
      <w:pPr>
        <w:pStyle w:val="Listparagraf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6A3B6C">
        <w:rPr>
          <w:rFonts w:ascii="Arial" w:hAnsi="Arial" w:cs="Arial"/>
          <w:color w:val="000000"/>
        </w:rPr>
        <w:t>Număr de acte normative revizuite care vizează îmbunătățirea cadrului legal și instituțional din Delta Dunării</w:t>
      </w:r>
    </w:p>
    <w:p w:rsidR="006A3B6C" w:rsidRPr="006A3B6C" w:rsidRDefault="006A3B6C" w:rsidP="006A3B6C">
      <w:pPr>
        <w:pStyle w:val="Listparagraf"/>
        <w:numPr>
          <w:ilvl w:val="0"/>
          <w:numId w:val="39"/>
        </w:numPr>
        <w:spacing w:after="160" w:line="256" w:lineRule="auto"/>
        <w:rPr>
          <w:rFonts w:ascii="Arial" w:hAnsi="Arial" w:cs="Arial"/>
        </w:rPr>
      </w:pPr>
      <w:r w:rsidRPr="006A3B6C">
        <w:rPr>
          <w:rFonts w:ascii="Arial" w:hAnsi="Arial" w:cs="Arial"/>
          <w:color w:val="000000"/>
        </w:rPr>
        <w:t>Număr de proiecte implementat în cadrul ITI Delta Dunării</w:t>
      </w:r>
    </w:p>
    <w:p w:rsidR="006A3B6C" w:rsidRPr="006A3B6C" w:rsidRDefault="006A3B6C" w:rsidP="006A3B6C">
      <w:pPr>
        <w:rPr>
          <w:rFonts w:ascii="Arial" w:hAnsi="Arial" w:cs="Arial"/>
        </w:rPr>
      </w:pPr>
    </w:p>
    <w:p w:rsidR="006A3B6C" w:rsidRPr="006A3B6C" w:rsidRDefault="006A3B6C" w:rsidP="006A3B6C">
      <w:pPr>
        <w:rPr>
          <w:rFonts w:ascii="Arial" w:hAnsi="Arial" w:cs="Arial"/>
        </w:rPr>
      </w:pPr>
    </w:p>
    <w:p w:rsidR="006A3B6C" w:rsidRPr="006A3B6C" w:rsidRDefault="006A3B6C" w:rsidP="006A3B6C">
      <w:pPr>
        <w:rPr>
          <w:rFonts w:ascii="Arial" w:hAnsi="Arial" w:cs="Arial"/>
        </w:rPr>
      </w:pPr>
    </w:p>
    <w:p w:rsidR="006A3B6C" w:rsidRPr="006A3B6C" w:rsidRDefault="006A3B6C" w:rsidP="00AC23A3">
      <w:pPr>
        <w:spacing w:after="120" w:line="240" w:lineRule="auto"/>
        <w:jc w:val="both"/>
        <w:rPr>
          <w:rFonts w:ascii="Arial" w:eastAsia="Times New Roman" w:hAnsi="Arial" w:cs="Arial"/>
          <w:b/>
        </w:rPr>
      </w:pPr>
    </w:p>
    <w:sectPr w:rsidR="006A3B6C" w:rsidRPr="006A3B6C" w:rsidSect="0005576D">
      <w:headerReference w:type="default" r:id="rId7"/>
      <w:headerReference w:type="first" r:id="rId8"/>
      <w:pgSz w:w="11907" w:h="16840" w:code="9"/>
      <w:pgMar w:top="426" w:right="567" w:bottom="28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4D8" w:rsidRDefault="00E074D8" w:rsidP="00EA0A34">
      <w:pPr>
        <w:spacing w:after="0" w:line="240" w:lineRule="auto"/>
      </w:pPr>
      <w:r>
        <w:separator/>
      </w:r>
    </w:p>
  </w:endnote>
  <w:endnote w:type="continuationSeparator" w:id="0">
    <w:p w:rsidR="00E074D8" w:rsidRDefault="00E074D8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4D8" w:rsidRDefault="00E074D8" w:rsidP="00EA0A34">
      <w:pPr>
        <w:spacing w:after="0" w:line="240" w:lineRule="auto"/>
      </w:pPr>
      <w:r>
        <w:separator/>
      </w:r>
    </w:p>
  </w:footnote>
  <w:footnote w:type="continuationSeparator" w:id="0">
    <w:p w:rsidR="00E074D8" w:rsidRDefault="00E074D8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1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1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949ED"/>
    <w:multiLevelType w:val="hybridMultilevel"/>
    <w:tmpl w:val="B9185882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594A9E"/>
    <w:multiLevelType w:val="hybridMultilevel"/>
    <w:tmpl w:val="993AAF92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44BB6"/>
    <w:multiLevelType w:val="hybridMultilevel"/>
    <w:tmpl w:val="6F127944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DA81B0A"/>
    <w:multiLevelType w:val="hybridMultilevel"/>
    <w:tmpl w:val="F30CDC14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AB7DC7"/>
    <w:multiLevelType w:val="hybridMultilevel"/>
    <w:tmpl w:val="13DE8560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035D70"/>
    <w:multiLevelType w:val="hybridMultilevel"/>
    <w:tmpl w:val="41EA3D3C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50612D"/>
    <w:multiLevelType w:val="hybridMultilevel"/>
    <w:tmpl w:val="39B2A954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515328"/>
    <w:multiLevelType w:val="hybridMultilevel"/>
    <w:tmpl w:val="DBBE9A48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AD27B45"/>
    <w:multiLevelType w:val="hybridMultilevel"/>
    <w:tmpl w:val="A10CC79A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B5F23BB"/>
    <w:multiLevelType w:val="hybridMultilevel"/>
    <w:tmpl w:val="EAA8D6F4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2D7A5146"/>
    <w:multiLevelType w:val="hybridMultilevel"/>
    <w:tmpl w:val="809C6694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841FA1"/>
    <w:multiLevelType w:val="hybridMultilevel"/>
    <w:tmpl w:val="1318D9A6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CA10555"/>
    <w:multiLevelType w:val="hybridMultilevel"/>
    <w:tmpl w:val="9544B802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30E15A9"/>
    <w:multiLevelType w:val="hybridMultilevel"/>
    <w:tmpl w:val="991A2202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4A34451"/>
    <w:multiLevelType w:val="hybridMultilevel"/>
    <w:tmpl w:val="2DF0CC6A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5" w15:restartNumberingAfterBreak="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074901"/>
    <w:multiLevelType w:val="hybridMultilevel"/>
    <w:tmpl w:val="D59A2DCC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FAD0993"/>
    <w:multiLevelType w:val="hybridMultilevel"/>
    <w:tmpl w:val="4148D8FA"/>
    <w:lvl w:ilvl="0" w:tplc="04180015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4D3BA4"/>
    <w:multiLevelType w:val="hybridMultilevel"/>
    <w:tmpl w:val="68C8450C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2D0733"/>
    <w:multiLevelType w:val="hybridMultilevel"/>
    <w:tmpl w:val="678270FE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76B1888"/>
    <w:multiLevelType w:val="hybridMultilevel"/>
    <w:tmpl w:val="BA76E448"/>
    <w:lvl w:ilvl="0" w:tplc="0418000F">
      <w:start w:val="1"/>
      <w:numFmt w:val="decimal"/>
      <w:lvlText w:val="%1."/>
      <w:lvlJc w:val="left"/>
      <w:pPr>
        <w:ind w:left="1068" w:hanging="360"/>
      </w:pPr>
    </w:lvl>
    <w:lvl w:ilvl="1" w:tplc="04180019">
      <w:start w:val="1"/>
      <w:numFmt w:val="lowerLetter"/>
      <w:lvlText w:val="%2."/>
      <w:lvlJc w:val="left"/>
      <w:pPr>
        <w:ind w:left="1788" w:hanging="360"/>
      </w:pPr>
    </w:lvl>
    <w:lvl w:ilvl="2" w:tplc="0418001B">
      <w:start w:val="1"/>
      <w:numFmt w:val="lowerRoman"/>
      <w:lvlText w:val="%3."/>
      <w:lvlJc w:val="right"/>
      <w:pPr>
        <w:ind w:left="2508" w:hanging="180"/>
      </w:pPr>
    </w:lvl>
    <w:lvl w:ilvl="3" w:tplc="0418000F">
      <w:start w:val="1"/>
      <w:numFmt w:val="decimal"/>
      <w:lvlText w:val="%4."/>
      <w:lvlJc w:val="left"/>
      <w:pPr>
        <w:ind w:left="3228" w:hanging="360"/>
      </w:pPr>
    </w:lvl>
    <w:lvl w:ilvl="4" w:tplc="04180019">
      <w:start w:val="1"/>
      <w:numFmt w:val="lowerLetter"/>
      <w:lvlText w:val="%5."/>
      <w:lvlJc w:val="left"/>
      <w:pPr>
        <w:ind w:left="3948" w:hanging="360"/>
      </w:pPr>
    </w:lvl>
    <w:lvl w:ilvl="5" w:tplc="0418001B">
      <w:start w:val="1"/>
      <w:numFmt w:val="lowerRoman"/>
      <w:lvlText w:val="%6."/>
      <w:lvlJc w:val="right"/>
      <w:pPr>
        <w:ind w:left="4668" w:hanging="180"/>
      </w:pPr>
    </w:lvl>
    <w:lvl w:ilvl="6" w:tplc="0418000F">
      <w:start w:val="1"/>
      <w:numFmt w:val="decimal"/>
      <w:lvlText w:val="%7."/>
      <w:lvlJc w:val="left"/>
      <w:pPr>
        <w:ind w:left="5388" w:hanging="360"/>
      </w:pPr>
    </w:lvl>
    <w:lvl w:ilvl="7" w:tplc="04180019">
      <w:start w:val="1"/>
      <w:numFmt w:val="lowerLetter"/>
      <w:lvlText w:val="%8."/>
      <w:lvlJc w:val="left"/>
      <w:pPr>
        <w:ind w:left="6108" w:hanging="360"/>
      </w:pPr>
    </w:lvl>
    <w:lvl w:ilvl="8" w:tplc="0418001B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6D4D26"/>
    <w:multiLevelType w:val="hybridMultilevel"/>
    <w:tmpl w:val="FC1C6240"/>
    <w:lvl w:ilvl="0" w:tplc="39667C5A">
      <w:start w:val="1"/>
      <w:numFmt w:val="upperLetter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0"/>
  </w:num>
  <w:num w:numId="3">
    <w:abstractNumId w:val="36"/>
  </w:num>
  <w:num w:numId="4">
    <w:abstractNumId w:val="26"/>
  </w:num>
  <w:num w:numId="5">
    <w:abstractNumId w:val="4"/>
  </w:num>
  <w:num w:numId="6">
    <w:abstractNumId w:val="0"/>
  </w:num>
  <w:num w:numId="7">
    <w:abstractNumId w:val="34"/>
  </w:num>
  <w:num w:numId="8">
    <w:abstractNumId w:val="24"/>
  </w:num>
  <w:num w:numId="9">
    <w:abstractNumId w:val="37"/>
  </w:num>
  <w:num w:numId="10">
    <w:abstractNumId w:val="35"/>
  </w:num>
  <w:num w:numId="11">
    <w:abstractNumId w:val="2"/>
  </w:num>
  <w:num w:numId="12">
    <w:abstractNumId w:val="31"/>
  </w:num>
  <w:num w:numId="13">
    <w:abstractNumId w:val="25"/>
  </w:num>
  <w:num w:numId="14">
    <w:abstractNumId w:val="27"/>
  </w:num>
  <w:num w:numId="15">
    <w:abstractNumId w:val="10"/>
  </w:num>
  <w:num w:numId="16">
    <w:abstractNumId w:val="11"/>
  </w:num>
  <w:num w:numId="17">
    <w:abstractNumId w:val="17"/>
  </w:num>
  <w:num w:numId="18">
    <w:abstractNumId w:val="18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00BEF"/>
    <w:rsid w:val="000431AC"/>
    <w:rsid w:val="0005576D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D2140"/>
    <w:rsid w:val="000F3E0A"/>
    <w:rsid w:val="00100661"/>
    <w:rsid w:val="001015D9"/>
    <w:rsid w:val="00104275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95B9C"/>
    <w:rsid w:val="002A00C6"/>
    <w:rsid w:val="002A429C"/>
    <w:rsid w:val="002B5A85"/>
    <w:rsid w:val="002B63FB"/>
    <w:rsid w:val="002B7A88"/>
    <w:rsid w:val="002D3217"/>
    <w:rsid w:val="002E7B12"/>
    <w:rsid w:val="002F4B1F"/>
    <w:rsid w:val="0031239E"/>
    <w:rsid w:val="003154C0"/>
    <w:rsid w:val="00317663"/>
    <w:rsid w:val="003224F4"/>
    <w:rsid w:val="00332256"/>
    <w:rsid w:val="00335CF7"/>
    <w:rsid w:val="00353090"/>
    <w:rsid w:val="003843AB"/>
    <w:rsid w:val="00386C77"/>
    <w:rsid w:val="00395506"/>
    <w:rsid w:val="003B45D5"/>
    <w:rsid w:val="003B4F93"/>
    <w:rsid w:val="003B6D53"/>
    <w:rsid w:val="003C7596"/>
    <w:rsid w:val="003D201C"/>
    <w:rsid w:val="003D65E1"/>
    <w:rsid w:val="003E1712"/>
    <w:rsid w:val="003F0B3C"/>
    <w:rsid w:val="003F58DA"/>
    <w:rsid w:val="004045E9"/>
    <w:rsid w:val="0041520D"/>
    <w:rsid w:val="00441CFA"/>
    <w:rsid w:val="00446E59"/>
    <w:rsid w:val="0047019D"/>
    <w:rsid w:val="004A0A4C"/>
    <w:rsid w:val="004A5AEE"/>
    <w:rsid w:val="004A6111"/>
    <w:rsid w:val="004C31B8"/>
    <w:rsid w:val="004D2663"/>
    <w:rsid w:val="004D4F9B"/>
    <w:rsid w:val="004E4203"/>
    <w:rsid w:val="004F5859"/>
    <w:rsid w:val="00505278"/>
    <w:rsid w:val="00540E6C"/>
    <w:rsid w:val="00550E34"/>
    <w:rsid w:val="005534D5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140FB"/>
    <w:rsid w:val="00625F94"/>
    <w:rsid w:val="00642490"/>
    <w:rsid w:val="006504E7"/>
    <w:rsid w:val="00655623"/>
    <w:rsid w:val="00680195"/>
    <w:rsid w:val="0068172C"/>
    <w:rsid w:val="00693CE4"/>
    <w:rsid w:val="006A3B6C"/>
    <w:rsid w:val="006B791A"/>
    <w:rsid w:val="006D57E9"/>
    <w:rsid w:val="006E3D61"/>
    <w:rsid w:val="006E6649"/>
    <w:rsid w:val="00712168"/>
    <w:rsid w:val="007137E5"/>
    <w:rsid w:val="00724ACC"/>
    <w:rsid w:val="007757BF"/>
    <w:rsid w:val="00787338"/>
    <w:rsid w:val="007D6311"/>
    <w:rsid w:val="007D6A69"/>
    <w:rsid w:val="007E0304"/>
    <w:rsid w:val="008262A5"/>
    <w:rsid w:val="0083325F"/>
    <w:rsid w:val="008543CF"/>
    <w:rsid w:val="0086359E"/>
    <w:rsid w:val="00865805"/>
    <w:rsid w:val="00881694"/>
    <w:rsid w:val="00885345"/>
    <w:rsid w:val="008B76CF"/>
    <w:rsid w:val="008F2CC5"/>
    <w:rsid w:val="008F7A4C"/>
    <w:rsid w:val="00916E3F"/>
    <w:rsid w:val="00926A61"/>
    <w:rsid w:val="00943603"/>
    <w:rsid w:val="00943F48"/>
    <w:rsid w:val="00954E3B"/>
    <w:rsid w:val="00955537"/>
    <w:rsid w:val="009637DA"/>
    <w:rsid w:val="009807AB"/>
    <w:rsid w:val="0098647B"/>
    <w:rsid w:val="00994E18"/>
    <w:rsid w:val="00997664"/>
    <w:rsid w:val="009A530B"/>
    <w:rsid w:val="009D1E13"/>
    <w:rsid w:val="009D2B40"/>
    <w:rsid w:val="009D6C5D"/>
    <w:rsid w:val="009E276D"/>
    <w:rsid w:val="00A079CB"/>
    <w:rsid w:val="00A554A9"/>
    <w:rsid w:val="00A70153"/>
    <w:rsid w:val="00A879B4"/>
    <w:rsid w:val="00A92602"/>
    <w:rsid w:val="00AC23A3"/>
    <w:rsid w:val="00AF2E6B"/>
    <w:rsid w:val="00B31506"/>
    <w:rsid w:val="00B34102"/>
    <w:rsid w:val="00B36DD3"/>
    <w:rsid w:val="00B45216"/>
    <w:rsid w:val="00B54787"/>
    <w:rsid w:val="00B67975"/>
    <w:rsid w:val="00B770CD"/>
    <w:rsid w:val="00B82635"/>
    <w:rsid w:val="00B83047"/>
    <w:rsid w:val="00B87FE1"/>
    <w:rsid w:val="00BA6EB3"/>
    <w:rsid w:val="00BB1C72"/>
    <w:rsid w:val="00BB67AE"/>
    <w:rsid w:val="00BB68AB"/>
    <w:rsid w:val="00BC22DD"/>
    <w:rsid w:val="00BC3F17"/>
    <w:rsid w:val="00BD5DEA"/>
    <w:rsid w:val="00C041E9"/>
    <w:rsid w:val="00C04F7F"/>
    <w:rsid w:val="00C20921"/>
    <w:rsid w:val="00C358A1"/>
    <w:rsid w:val="00C50B98"/>
    <w:rsid w:val="00C62E34"/>
    <w:rsid w:val="00C84A2C"/>
    <w:rsid w:val="00C86840"/>
    <w:rsid w:val="00C87558"/>
    <w:rsid w:val="00C96D46"/>
    <w:rsid w:val="00CB3290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074D8"/>
    <w:rsid w:val="00E16F93"/>
    <w:rsid w:val="00E178B8"/>
    <w:rsid w:val="00E24678"/>
    <w:rsid w:val="00E317EF"/>
    <w:rsid w:val="00E64334"/>
    <w:rsid w:val="00E8108F"/>
    <w:rsid w:val="00E92E8A"/>
    <w:rsid w:val="00EA0A34"/>
    <w:rsid w:val="00EA1585"/>
    <w:rsid w:val="00EA5147"/>
    <w:rsid w:val="00EA57F0"/>
    <w:rsid w:val="00EB369A"/>
    <w:rsid w:val="00EB467F"/>
    <w:rsid w:val="00EC433C"/>
    <w:rsid w:val="00EF139A"/>
    <w:rsid w:val="00EF20EE"/>
    <w:rsid w:val="00F02455"/>
    <w:rsid w:val="00F32080"/>
    <w:rsid w:val="00F621D1"/>
    <w:rsid w:val="00F647B9"/>
    <w:rsid w:val="00F82AD2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0</TotalTime>
  <Pages>4</Pages>
  <Words>1506</Words>
  <Characters>8589</Characters>
  <Application>Microsoft Office Word</Application>
  <DocSecurity>0</DocSecurity>
  <Lines>71</Lines>
  <Paragraphs>20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10075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3</cp:revision>
  <cp:lastPrinted>2018-05-09T16:41:00Z</cp:lastPrinted>
  <dcterms:created xsi:type="dcterms:W3CDTF">2018-09-03T10:49:00Z</dcterms:created>
  <dcterms:modified xsi:type="dcterms:W3CDTF">2018-09-21T11:19:00Z</dcterms:modified>
</cp:coreProperties>
</file>